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ADF" w:rsidRPr="008540BD" w:rsidRDefault="003F1810" w:rsidP="001E6ADF">
      <w:pPr>
        <w:spacing w:after="0" w:line="276" w:lineRule="auto"/>
        <w:jc w:val="both"/>
        <w:rPr>
          <w:rFonts w:ascii="Arial Narrow" w:hAnsi="Arial Narrow" w:cstheme="minorHAnsi"/>
          <w:b/>
          <w:sz w:val="24"/>
          <w:szCs w:val="24"/>
        </w:rPr>
      </w:pPr>
      <w:r>
        <w:rPr>
          <w:rFonts w:ascii="Arial Narrow" w:hAnsi="Arial Narrow" w:cstheme="minorHAnsi"/>
          <w:b/>
          <w:sz w:val="24"/>
          <w:szCs w:val="24"/>
        </w:rPr>
        <w:t>Załącznik nr 3</w:t>
      </w:r>
      <w:r w:rsidR="001E6ADF" w:rsidRPr="008540BD">
        <w:rPr>
          <w:rFonts w:ascii="Arial Narrow" w:hAnsi="Arial Narrow" w:cstheme="minorHAnsi"/>
          <w:b/>
          <w:sz w:val="24"/>
          <w:szCs w:val="24"/>
        </w:rPr>
        <w:t xml:space="preserve"> – Opis szczegółowy</w:t>
      </w:r>
    </w:p>
    <w:p w:rsidR="001E6ADF" w:rsidRPr="008540BD" w:rsidRDefault="001E6ADF" w:rsidP="001E6ADF">
      <w:pPr>
        <w:spacing w:after="0" w:line="276" w:lineRule="auto"/>
        <w:jc w:val="both"/>
        <w:rPr>
          <w:rFonts w:ascii="Arial Narrow" w:hAnsi="Arial Narrow" w:cstheme="minorHAnsi"/>
          <w:sz w:val="24"/>
          <w:szCs w:val="24"/>
        </w:rPr>
      </w:pPr>
    </w:p>
    <w:p w:rsidR="005B5C3A" w:rsidRPr="008540BD" w:rsidRDefault="005B5C3A" w:rsidP="001E6ADF">
      <w:pPr>
        <w:spacing w:after="0" w:line="276" w:lineRule="auto"/>
        <w:jc w:val="both"/>
        <w:rPr>
          <w:rFonts w:ascii="Arial Narrow" w:hAnsi="Arial Narrow" w:cstheme="minorHAnsi"/>
          <w:sz w:val="24"/>
          <w:szCs w:val="24"/>
        </w:rPr>
      </w:pPr>
      <w:r w:rsidRPr="00DA4D61">
        <w:rPr>
          <w:rFonts w:ascii="Arial Narrow" w:hAnsi="Arial Narrow" w:cstheme="minorHAnsi"/>
          <w:b/>
          <w:sz w:val="24"/>
          <w:szCs w:val="24"/>
        </w:rPr>
        <w:t>Przedmiotem zamówienia</w:t>
      </w:r>
      <w:r w:rsidRPr="008540BD">
        <w:rPr>
          <w:rFonts w:ascii="Arial Narrow" w:hAnsi="Arial Narrow" w:cstheme="minorHAnsi"/>
          <w:sz w:val="24"/>
          <w:szCs w:val="24"/>
        </w:rPr>
        <w:t xml:space="preserve"> jest wykonanie kompleksowej usługi polegającej na przygotowaniu dokumentacji aplikacyjnej niezbędnej do ubiegania się przez Muzeum Okręgowe w Toruniu o dofinansowanie projektu „Fundamenty historii – modernizacja i zabezpieczenie Domu Mikołaja Kopernika” wraz z opracowaniem wymaganych analiz, dokumentów towarzyszących, przeprowadzeniem konsultacji społecznych oraz wsparciem Zamawiającego na etapie składania wniosku o dofinansowanie.</w:t>
      </w:r>
    </w:p>
    <w:p w:rsidR="005B5C3A" w:rsidRPr="008540BD" w:rsidRDefault="005B5C3A" w:rsidP="005B5C3A">
      <w:pPr>
        <w:pStyle w:val="NormalnyWeb"/>
        <w:rPr>
          <w:rFonts w:ascii="Arial Narrow" w:hAnsi="Arial Narrow" w:cstheme="minorHAnsi"/>
        </w:rPr>
      </w:pPr>
      <w:r w:rsidRPr="008540BD">
        <w:rPr>
          <w:rFonts w:ascii="Arial Narrow" w:hAnsi="Arial Narrow" w:cstheme="minorHAnsi"/>
        </w:rPr>
        <w:t>Projekt dotyczy zabezpieczenia konstrukcji oficyny, podwórza i muru granicznego przy Domu Mikołaja Kopernika w Toruniu wraz z rozbudową oficyny z przeznaczeniem na pomieszczenia wystawienniczo-magazynowe, ochroną odkrytych reliktów średniowiecznej zabudowy Torunia oraz utworzeniem nowej przestrzeni ekspozycyjnej.</w:t>
      </w:r>
    </w:p>
    <w:p w:rsidR="005B5C3A" w:rsidRPr="008540BD" w:rsidRDefault="005B5C3A" w:rsidP="005B5C3A">
      <w:p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  <w:lang w:eastAsia="pl-PL"/>
        </w:rPr>
      </w:pP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t>We wniosku dotyczącym projektu Domu Mikołaja Kopernika warto szczególnie zaakcentować istotne działania miękkie:</w:t>
      </w:r>
    </w:p>
    <w:p w:rsidR="005B5C3A" w:rsidRPr="008540BD" w:rsidRDefault="005B5C3A" w:rsidP="005B5C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b/>
          <w:sz w:val="24"/>
          <w:szCs w:val="24"/>
          <w:lang w:eastAsia="pl-PL"/>
        </w:rPr>
      </w:pPr>
      <w:r w:rsidRPr="008540BD">
        <w:rPr>
          <w:rFonts w:ascii="Arial Narrow" w:eastAsia="Times New Roman" w:hAnsi="Arial Narrow" w:cstheme="minorHAnsi"/>
          <w:b/>
          <w:bCs/>
          <w:sz w:val="24"/>
          <w:szCs w:val="24"/>
          <w:lang w:eastAsia="pl-PL"/>
        </w:rPr>
        <w:t>udostępnienie unikatowego odkrycia archeologicznego z XIII wieku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t xml:space="preserve">, </w:t>
      </w:r>
      <w:r w:rsidRPr="008540BD">
        <w:rPr>
          <w:rFonts w:ascii="Arial Narrow" w:eastAsia="Times New Roman" w:hAnsi="Arial Narrow" w:cstheme="minorHAnsi"/>
          <w:b/>
          <w:sz w:val="24"/>
          <w:szCs w:val="24"/>
          <w:lang w:eastAsia="pl-PL"/>
        </w:rPr>
        <w:t xml:space="preserve">zmieniającego wiedzę o początkach Torunia; </w:t>
      </w:r>
    </w:p>
    <w:p w:rsidR="005B5C3A" w:rsidRPr="008540BD" w:rsidRDefault="005B5C3A" w:rsidP="005B5C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  <w:lang w:eastAsia="pl-PL"/>
        </w:rPr>
      </w:pPr>
      <w:r w:rsidRPr="008540BD">
        <w:rPr>
          <w:rFonts w:ascii="Arial Narrow" w:eastAsia="Times New Roman" w:hAnsi="Arial Narrow" w:cstheme="minorHAnsi"/>
          <w:b/>
          <w:bCs/>
          <w:sz w:val="24"/>
          <w:szCs w:val="24"/>
          <w:lang w:eastAsia="pl-PL"/>
        </w:rPr>
        <w:t>zwiększenie atrakcyjności turystycznej miasta wpisanego na listę UNESCO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t xml:space="preserve">; </w:t>
      </w:r>
    </w:p>
    <w:p w:rsidR="005B5C3A" w:rsidRPr="008540BD" w:rsidRDefault="005B5C3A" w:rsidP="005B5C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  <w:lang w:eastAsia="pl-PL"/>
        </w:rPr>
      </w:pPr>
      <w:r w:rsidRPr="008540BD">
        <w:rPr>
          <w:rFonts w:ascii="Arial Narrow" w:eastAsia="Times New Roman" w:hAnsi="Arial Narrow" w:cstheme="minorHAnsi"/>
          <w:b/>
          <w:bCs/>
          <w:sz w:val="24"/>
          <w:szCs w:val="24"/>
          <w:lang w:eastAsia="pl-PL"/>
        </w:rPr>
        <w:t>nowa oferta edukacyjna dla szkół i rodzin z dziećmi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t xml:space="preserve">; </w:t>
      </w:r>
    </w:p>
    <w:p w:rsidR="005B5C3A" w:rsidRPr="008540BD" w:rsidRDefault="005B5C3A" w:rsidP="005B5C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  <w:lang w:eastAsia="pl-PL"/>
        </w:rPr>
      </w:pPr>
      <w:r w:rsidRPr="008540BD">
        <w:rPr>
          <w:rFonts w:ascii="Arial Narrow" w:eastAsia="Times New Roman" w:hAnsi="Arial Narrow" w:cstheme="minorHAnsi"/>
          <w:b/>
          <w:bCs/>
          <w:sz w:val="24"/>
          <w:szCs w:val="24"/>
          <w:lang w:eastAsia="pl-PL"/>
        </w:rPr>
        <w:t>możliwość organizacji większej liczby wystaw czasowych, warsztatów, wykładów i wydarzeń popularnonaukowych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t xml:space="preserve">; </w:t>
      </w:r>
    </w:p>
    <w:p w:rsidR="005B5C3A" w:rsidRPr="008540BD" w:rsidRDefault="005B5C3A" w:rsidP="005B5C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  <w:lang w:eastAsia="pl-PL"/>
        </w:rPr>
      </w:pPr>
      <w:r w:rsidRPr="008540BD">
        <w:rPr>
          <w:rFonts w:ascii="Arial Narrow" w:eastAsia="Times New Roman" w:hAnsi="Arial Narrow" w:cstheme="minorHAnsi"/>
          <w:b/>
          <w:bCs/>
          <w:sz w:val="24"/>
          <w:szCs w:val="24"/>
          <w:lang w:eastAsia="pl-PL"/>
        </w:rPr>
        <w:t>zwiększenie dostępności dziedzictwa kulturowego dla mieszkańców i turystów krajowych oraz zagranicznych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t xml:space="preserve">; </w:t>
      </w:r>
    </w:p>
    <w:p w:rsidR="005B5C3A" w:rsidRPr="008540BD" w:rsidRDefault="005B5C3A" w:rsidP="005B5C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  <w:lang w:eastAsia="pl-PL"/>
        </w:rPr>
      </w:pPr>
      <w:r w:rsidRPr="008540BD">
        <w:rPr>
          <w:rFonts w:ascii="Arial Narrow" w:eastAsia="Times New Roman" w:hAnsi="Arial Narrow" w:cstheme="minorHAnsi"/>
          <w:b/>
          <w:bCs/>
          <w:sz w:val="24"/>
          <w:szCs w:val="24"/>
          <w:lang w:eastAsia="pl-PL"/>
        </w:rPr>
        <w:t>zachowanie autentycznej substancji zabytkowej dla przyszłych pokoleń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t xml:space="preserve">; </w:t>
      </w:r>
    </w:p>
    <w:p w:rsidR="005B5C3A" w:rsidRPr="008540BD" w:rsidRDefault="005B5C3A" w:rsidP="005B5C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  <w:lang w:eastAsia="pl-PL"/>
        </w:rPr>
      </w:pPr>
      <w:r w:rsidRPr="008540BD">
        <w:rPr>
          <w:rFonts w:ascii="Arial Narrow" w:eastAsia="Times New Roman" w:hAnsi="Arial Narrow" w:cstheme="minorHAnsi"/>
          <w:b/>
          <w:bCs/>
          <w:sz w:val="24"/>
          <w:szCs w:val="24"/>
          <w:lang w:eastAsia="pl-PL"/>
        </w:rPr>
        <w:t>wykorzystanie rozwiązań zgodnych z zasadami zrównoważonego rozwoju i ochrony środowiska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t>.</w:t>
      </w:r>
    </w:p>
    <w:p w:rsidR="005B5C3A" w:rsidRPr="00DA4D61" w:rsidRDefault="005B5C3A" w:rsidP="005B5C3A">
      <w:pPr>
        <w:pStyle w:val="NormalnyWeb"/>
        <w:rPr>
          <w:rFonts w:ascii="Arial Narrow" w:hAnsi="Arial Narrow" w:cstheme="minorHAnsi"/>
          <w:b/>
        </w:rPr>
      </w:pPr>
      <w:r w:rsidRPr="00DA4D61">
        <w:rPr>
          <w:rFonts w:ascii="Arial Narrow" w:hAnsi="Arial Narrow" w:cstheme="minorHAnsi"/>
          <w:b/>
        </w:rPr>
        <w:t>Zakres zamówienia obejmuje w szczególności:</w:t>
      </w:r>
    </w:p>
    <w:p w:rsidR="005B5C3A" w:rsidRPr="008540BD" w:rsidRDefault="005B5C3A" w:rsidP="005B5C3A">
      <w:pPr>
        <w:pStyle w:val="NormalnyWeb"/>
        <w:numPr>
          <w:ilvl w:val="0"/>
          <w:numId w:val="6"/>
        </w:numPr>
        <w:rPr>
          <w:rFonts w:ascii="Arial Narrow" w:hAnsi="Arial Narrow" w:cstheme="minorHAnsi"/>
        </w:rPr>
      </w:pPr>
      <w:r w:rsidRPr="008540BD">
        <w:rPr>
          <w:rFonts w:ascii="Arial Narrow" w:hAnsi="Arial Narrow" w:cstheme="minorHAnsi"/>
        </w:rPr>
        <w:t>Przygotowanie kompletnego wniosku o dofinansowanie zgodnie z wymaganiami programu, w ramach którego zostanie ogłoszony nabór.</w:t>
      </w:r>
    </w:p>
    <w:p w:rsidR="005B5C3A" w:rsidRPr="008540BD" w:rsidRDefault="005B5C3A" w:rsidP="005B5C3A">
      <w:pPr>
        <w:pStyle w:val="NormalnyWeb"/>
        <w:numPr>
          <w:ilvl w:val="0"/>
          <w:numId w:val="6"/>
        </w:numPr>
        <w:rPr>
          <w:rFonts w:ascii="Arial Narrow" w:hAnsi="Arial Narrow" w:cstheme="minorHAnsi"/>
        </w:rPr>
      </w:pPr>
      <w:r w:rsidRPr="008540BD">
        <w:rPr>
          <w:rFonts w:ascii="Arial Narrow" w:hAnsi="Arial Narrow" w:cstheme="minorHAnsi"/>
        </w:rPr>
        <w:t>Analizę dokumentacji przekazanej przez Zamawiającego, w tym dokumentacji projektowej, budowlano-konserwatorskiej, kosztorysowej, archeologicznej oraz programu funkcjonalno-użytkowego przedsięwzięcia.</w:t>
      </w:r>
    </w:p>
    <w:p w:rsidR="005B5C3A" w:rsidRPr="008540BD" w:rsidRDefault="005B5C3A" w:rsidP="005B5C3A">
      <w:pPr>
        <w:pStyle w:val="NormalnyWeb"/>
        <w:numPr>
          <w:ilvl w:val="0"/>
          <w:numId w:val="6"/>
        </w:numPr>
        <w:rPr>
          <w:rFonts w:ascii="Arial Narrow" w:hAnsi="Arial Narrow" w:cstheme="minorHAnsi"/>
        </w:rPr>
      </w:pPr>
      <w:r w:rsidRPr="008540BD">
        <w:rPr>
          <w:rFonts w:ascii="Arial Narrow" w:hAnsi="Arial Narrow" w:cstheme="minorHAnsi"/>
        </w:rPr>
        <w:t>Opracowanie uzasadnienia realizacji projektu obejmującego:</w:t>
      </w:r>
      <w:r w:rsidRPr="008540BD">
        <w:rPr>
          <w:rFonts w:ascii="Arial Narrow" w:hAnsi="Arial Narrow" w:cstheme="minorHAnsi"/>
        </w:rPr>
        <w:br/>
        <w:t>a) analizę problemów i potrzeb będących podstawą realizacji inwestycji;</w:t>
      </w:r>
      <w:r w:rsidRPr="008540BD">
        <w:rPr>
          <w:rFonts w:ascii="Arial Narrow" w:hAnsi="Arial Narrow" w:cstheme="minorHAnsi"/>
        </w:rPr>
        <w:br/>
        <w:t>b) analizę stanu zachowania zabytku oraz zagrożeń dla jego dalszego funkcjonowania;</w:t>
      </w:r>
      <w:r w:rsidRPr="008540BD">
        <w:rPr>
          <w:rFonts w:ascii="Arial Narrow" w:hAnsi="Arial Narrow" w:cstheme="minorHAnsi"/>
        </w:rPr>
        <w:br/>
        <w:t>c) analizę znaczenia odkrytych reliktów archeologicznych dla dziedzictwa kulturowego Torunia, regionu i kraju;</w:t>
      </w:r>
      <w:r w:rsidRPr="008540BD">
        <w:rPr>
          <w:rFonts w:ascii="Arial Narrow" w:hAnsi="Arial Narrow" w:cstheme="minorHAnsi"/>
        </w:rPr>
        <w:br/>
        <w:t>d) analizę zgodności projektu z dokumentami strategicznymi na poziomie lokalnym, regionalnym, krajowym i europejskim;</w:t>
      </w:r>
      <w:r w:rsidRPr="008540BD">
        <w:rPr>
          <w:rFonts w:ascii="Arial Narrow" w:hAnsi="Arial Narrow" w:cstheme="minorHAnsi"/>
        </w:rPr>
        <w:br/>
        <w:t>e) analizę trwałości i efektywności projektu.</w:t>
      </w:r>
    </w:p>
    <w:p w:rsidR="005B5C3A" w:rsidRPr="008540BD" w:rsidRDefault="005B5C3A" w:rsidP="005B5C3A">
      <w:pPr>
        <w:pStyle w:val="NormalnyWeb"/>
        <w:numPr>
          <w:ilvl w:val="0"/>
          <w:numId w:val="6"/>
        </w:numPr>
        <w:rPr>
          <w:rFonts w:ascii="Arial Narrow" w:hAnsi="Arial Narrow" w:cstheme="minorHAnsi"/>
        </w:rPr>
      </w:pPr>
      <w:r w:rsidRPr="008540BD">
        <w:rPr>
          <w:rFonts w:ascii="Arial Narrow" w:hAnsi="Arial Narrow" w:cstheme="minorHAnsi"/>
        </w:rPr>
        <w:t>Opracowanie analizy rynku i otoczenia społeczno-gospodarczego projektu, obejmującej w szczególności:</w:t>
      </w:r>
      <w:r w:rsidRPr="008540BD">
        <w:rPr>
          <w:rFonts w:ascii="Arial Narrow" w:hAnsi="Arial Narrow" w:cstheme="minorHAnsi"/>
        </w:rPr>
        <w:br/>
        <w:t>a) identyfikację grup docelowych;</w:t>
      </w:r>
      <w:r w:rsidRPr="008540BD">
        <w:rPr>
          <w:rFonts w:ascii="Arial Narrow" w:hAnsi="Arial Narrow" w:cstheme="minorHAnsi"/>
        </w:rPr>
        <w:br/>
        <w:t>b) analizę ruchu turystycznego i potencjału rozwoju oferty kulturalnej;</w:t>
      </w:r>
      <w:r w:rsidRPr="008540BD">
        <w:rPr>
          <w:rFonts w:ascii="Arial Narrow" w:hAnsi="Arial Narrow" w:cstheme="minorHAnsi"/>
        </w:rPr>
        <w:br/>
        <w:t>c) analizę wpływu projektu na rozwój sektora kultury i turystyki;</w:t>
      </w:r>
      <w:r w:rsidRPr="008540BD">
        <w:rPr>
          <w:rFonts w:ascii="Arial Narrow" w:hAnsi="Arial Narrow" w:cstheme="minorHAnsi"/>
        </w:rPr>
        <w:br/>
        <w:t>d) analizę potrzeb mieszkańców i odbiorców oferty muzealnej.</w:t>
      </w:r>
    </w:p>
    <w:p w:rsidR="005B5C3A" w:rsidRPr="008540BD" w:rsidRDefault="005B5C3A" w:rsidP="005B5C3A">
      <w:pPr>
        <w:pStyle w:val="NormalnyWeb"/>
        <w:numPr>
          <w:ilvl w:val="0"/>
          <w:numId w:val="6"/>
        </w:numPr>
        <w:rPr>
          <w:rFonts w:ascii="Arial Narrow" w:hAnsi="Arial Narrow" w:cstheme="minorHAnsi"/>
        </w:rPr>
      </w:pPr>
      <w:r w:rsidRPr="008540BD">
        <w:rPr>
          <w:rFonts w:ascii="Arial Narrow" w:hAnsi="Arial Narrow" w:cstheme="minorHAnsi"/>
        </w:rPr>
        <w:lastRenderedPageBreak/>
        <w:t>Opracowanie części merytorycznej projektu wskazującej jego wpływ na:</w:t>
      </w:r>
      <w:r w:rsidRPr="008540BD">
        <w:rPr>
          <w:rFonts w:ascii="Arial Narrow" w:hAnsi="Arial Narrow" w:cstheme="minorHAnsi"/>
        </w:rPr>
        <w:br/>
        <w:t>a) ochronę i zachowanie dziedzictwa kulturowego;</w:t>
      </w:r>
      <w:r w:rsidRPr="008540BD">
        <w:rPr>
          <w:rFonts w:ascii="Arial Narrow" w:hAnsi="Arial Narrow" w:cstheme="minorHAnsi"/>
        </w:rPr>
        <w:br/>
        <w:t>b) zwiększenie dostępności do kultury i edukacji historycznej;</w:t>
      </w:r>
      <w:r w:rsidRPr="008540BD">
        <w:rPr>
          <w:rFonts w:ascii="Arial Narrow" w:hAnsi="Arial Narrow" w:cstheme="minorHAnsi"/>
        </w:rPr>
        <w:br/>
        <w:t>c) rozwój oferty edukacyjnej skierowanej do dzieci, młodzieży, rodzin i seniorów;</w:t>
      </w:r>
      <w:r w:rsidRPr="008540BD">
        <w:rPr>
          <w:rFonts w:ascii="Arial Narrow" w:hAnsi="Arial Narrow" w:cstheme="minorHAnsi"/>
        </w:rPr>
        <w:br/>
        <w:t>d) rozwój atrakcyjności turystycznej Torunia;</w:t>
      </w:r>
      <w:r w:rsidRPr="008540BD">
        <w:rPr>
          <w:rFonts w:ascii="Arial Narrow" w:hAnsi="Arial Narrow" w:cstheme="minorHAnsi"/>
        </w:rPr>
        <w:br/>
        <w:t>e) wzrost liczby wydarzeń edukacyjnych, naukowych, wystawienniczych i społecznych;</w:t>
      </w:r>
      <w:r w:rsidRPr="008540BD">
        <w:rPr>
          <w:rFonts w:ascii="Arial Narrow" w:hAnsi="Arial Narrow" w:cstheme="minorHAnsi"/>
        </w:rPr>
        <w:br/>
        <w:t>f) wzrost zaangażowania mieszkańców w działania związane z ochroną dziedzictwa kulturowego;</w:t>
      </w:r>
      <w:r w:rsidRPr="008540BD">
        <w:rPr>
          <w:rFonts w:ascii="Arial Narrow" w:hAnsi="Arial Narrow" w:cstheme="minorHAnsi"/>
        </w:rPr>
        <w:br/>
        <w:t>g) poprawę warunków przechowywania i zabezpieczenia zbiorów muzealnych;</w:t>
      </w:r>
      <w:r w:rsidRPr="008540BD">
        <w:rPr>
          <w:rFonts w:ascii="Arial Narrow" w:hAnsi="Arial Narrow" w:cstheme="minorHAnsi"/>
        </w:rPr>
        <w:br/>
        <w:t>h) wzrost odporności instytucji kultury na sytuacje kryzysowe, w tym możliwość czasowego zabezpieczenia zabytków w przypadku konfliktów zbrojnych lub innych zagrożeń.</w:t>
      </w:r>
    </w:p>
    <w:p w:rsidR="005B5C3A" w:rsidRPr="008540BD" w:rsidRDefault="005B5C3A" w:rsidP="005B5C3A">
      <w:pPr>
        <w:pStyle w:val="NormalnyWeb"/>
        <w:numPr>
          <w:ilvl w:val="0"/>
          <w:numId w:val="6"/>
        </w:numPr>
        <w:rPr>
          <w:rFonts w:ascii="Arial Narrow" w:hAnsi="Arial Narrow" w:cstheme="minorHAnsi"/>
        </w:rPr>
      </w:pPr>
      <w:r w:rsidRPr="008540BD">
        <w:rPr>
          <w:rFonts w:ascii="Arial Narrow" w:hAnsi="Arial Narrow" w:cstheme="minorHAnsi"/>
        </w:rPr>
        <w:t>Opracowanie części dotyczącej zrównoważonego rozwoju i oddziaływania środowiskowego projektu, obejmującej:</w:t>
      </w:r>
      <w:r w:rsidRPr="008540BD">
        <w:rPr>
          <w:rFonts w:ascii="Arial Narrow" w:hAnsi="Arial Narrow" w:cstheme="minorHAnsi"/>
        </w:rPr>
        <w:br/>
        <w:t>a) analizę wpływu inwestycji na środowisko;</w:t>
      </w:r>
      <w:r w:rsidRPr="008540BD">
        <w:rPr>
          <w:rFonts w:ascii="Arial Narrow" w:hAnsi="Arial Narrow" w:cstheme="minorHAnsi"/>
        </w:rPr>
        <w:br/>
        <w:t>b) wskazanie rozwiązań ograniczających negatywne oddziaływanie na klimat;</w:t>
      </w:r>
      <w:r w:rsidRPr="008540BD">
        <w:rPr>
          <w:rFonts w:ascii="Arial Narrow" w:hAnsi="Arial Narrow" w:cstheme="minorHAnsi"/>
        </w:rPr>
        <w:br/>
        <w:t>c) wykorzystanie istniejących zasobów materiałowych, w tym odtworzenie nawierzchni podwórza z wykorzystaniem historycznego materiału kamiennego;</w:t>
      </w:r>
      <w:r w:rsidRPr="008540BD">
        <w:rPr>
          <w:rFonts w:ascii="Arial Narrow" w:hAnsi="Arial Narrow" w:cstheme="minorHAnsi"/>
        </w:rPr>
        <w:br/>
        <w:t>d) działania edukacyjne promujące ochronę dziedzictwa i odpowiedzialne korzystanie z zasobów;</w:t>
      </w:r>
    </w:p>
    <w:p w:rsidR="005B5C3A" w:rsidRPr="008540BD" w:rsidRDefault="005B5C3A" w:rsidP="005B5C3A">
      <w:pPr>
        <w:pStyle w:val="NormalnyWeb"/>
        <w:numPr>
          <w:ilvl w:val="0"/>
          <w:numId w:val="6"/>
        </w:numPr>
        <w:rPr>
          <w:rFonts w:ascii="Arial Narrow" w:hAnsi="Arial Narrow" w:cstheme="minorHAnsi"/>
        </w:rPr>
      </w:pPr>
      <w:r w:rsidRPr="008540BD">
        <w:rPr>
          <w:rFonts w:ascii="Arial Narrow" w:hAnsi="Arial Narrow" w:cstheme="minorHAnsi"/>
        </w:rPr>
        <w:t>Przeprowadzenie konsultacji społecznych projektu, obejmujących:</w:t>
      </w:r>
      <w:r w:rsidRPr="008540BD">
        <w:rPr>
          <w:rFonts w:ascii="Arial Narrow" w:hAnsi="Arial Narrow" w:cstheme="minorHAnsi"/>
        </w:rPr>
        <w:br/>
        <w:t>a) przygotowanie planu konsultacji;</w:t>
      </w:r>
      <w:r w:rsidRPr="008540BD">
        <w:rPr>
          <w:rFonts w:ascii="Arial Narrow" w:hAnsi="Arial Narrow" w:cstheme="minorHAnsi"/>
        </w:rPr>
        <w:br/>
        <w:t>b) przeprowadzenie spotkań, warsztatów lub konsultacji on-line;</w:t>
      </w:r>
      <w:r w:rsidRPr="008540BD">
        <w:rPr>
          <w:rFonts w:ascii="Arial Narrow" w:hAnsi="Arial Narrow" w:cstheme="minorHAnsi"/>
        </w:rPr>
        <w:br/>
        <w:t>c) zebranie opinii interesariuszy;</w:t>
      </w:r>
      <w:r w:rsidRPr="008540BD">
        <w:rPr>
          <w:rFonts w:ascii="Arial Narrow" w:hAnsi="Arial Narrow" w:cstheme="minorHAnsi"/>
        </w:rPr>
        <w:br/>
        <w:t>d) opracowanie raportu z konsultacji wraz z wnioskami i rekomendacjami;</w:t>
      </w:r>
      <w:r w:rsidRPr="008540BD">
        <w:rPr>
          <w:rFonts w:ascii="Arial Narrow" w:hAnsi="Arial Narrow" w:cstheme="minorHAnsi"/>
        </w:rPr>
        <w:br/>
        <w:t>e) uwzględnienie wyników konsultacji w dokumentacji aplikacyjnej.</w:t>
      </w:r>
    </w:p>
    <w:p w:rsidR="005B5C3A" w:rsidRPr="008540BD" w:rsidRDefault="005B5C3A" w:rsidP="005B5C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 Narrow" w:eastAsia="Times New Roman" w:hAnsi="Arial Narrow" w:cstheme="minorHAnsi"/>
          <w:sz w:val="24"/>
          <w:szCs w:val="24"/>
          <w:lang w:eastAsia="pl-PL"/>
        </w:rPr>
      </w:pP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t>Przygotowanie, opracowanie i skompletowanie wszystkich załączników wymaganych przez dokumentację konkursową obowiązującą dla danego naboru, w tym w szczególności dokumentów analogicznych do wymaganych w poprzednich naborach Programu „Kultura” MF EOG, obejmujących między innymi: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br/>
        <w:t>a) studium wykonalności projektu lub dokument równoważny;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br/>
        <w:t>b) analizę rynku;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br/>
        <w:t>c) analizę finansową;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br/>
        <w:t>d) analizę ekonomiczną;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br/>
        <w:t>e) analizę kosztów i korzyści;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br/>
        <w:t>f) analizę ryzyka;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br/>
        <w:t>g) analizę trwałości projektu;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br/>
        <w:t>h) harmonogram realizacji projektu;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br/>
        <w:t>i) budżet projektu wraz z wymaganymi zestawieniami finansowymi;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br/>
        <w:t>j) dokumenty dotyczące kwalifikowalności podatku VAT;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br/>
        <w:t>k) zestawienie decyzji, uzgodnień, opinii i pozwoleń administracyjnych wymaganych dla projektu;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br/>
        <w:t>l) dokumenty dotyczące posiadanej dokumentacji projektowej, kosztorysowej oraz konserwatorskiej;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br/>
        <w:t>m) dokumenty dotyczące stanu zachowania zabytku oraz wymagane opinie właściwych organów ochrony zabytków;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br/>
        <w:t>n) pozwolenie na budowę, zgłoszenie robót budowlanych lub dokumenty potwierdzające brak obowiązku ich uzyskania – jeżeli będą wymagane;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br/>
        <w:t>o) decyzję o środowiskowych uwarunkowaniach lub dokumenty potwierdzające brak obowiązku jej uzyskania – jeżeli będą wymagane;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br/>
        <w:t>p) raport z konsultacji społecznych;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br/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lastRenderedPageBreak/>
        <w:t>q) dokumenty dotyczące dostępności dla osób ze szczególnymi potrzebami;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br/>
        <w:t>r) dokumenty dotyczące wpływu projektu na środowisko, klimat oraz zrównoważony rozwój, jeżeli będą wymagane przez instytucję organizującą nabór;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br/>
        <w:t>s) dokumenty dotyczące partnerstwa krajowego lub międzynarodowego, w tym projekty listów intencyjnych i umów partnerskich – jeżeli będą wymagane;</w:t>
      </w:r>
      <w:r w:rsidRPr="008540BD">
        <w:rPr>
          <w:rFonts w:ascii="Arial Narrow" w:eastAsia="Times New Roman" w:hAnsi="Arial Narrow" w:cstheme="minorHAnsi"/>
          <w:sz w:val="24"/>
          <w:szCs w:val="24"/>
          <w:lang w:eastAsia="pl-PL"/>
        </w:rPr>
        <w:br/>
        <w:t>t) wszelkie formularze, oświadczenia, zestawienia, analizy i inne załączniki wymagane przez regulamin naboru, wytyczne lub instytucję organizującą konkurs.</w:t>
      </w:r>
    </w:p>
    <w:p w:rsidR="005B5C3A" w:rsidRPr="008540BD" w:rsidRDefault="005B5C3A" w:rsidP="005B5C3A">
      <w:pPr>
        <w:pStyle w:val="NormalnyWeb"/>
        <w:numPr>
          <w:ilvl w:val="0"/>
          <w:numId w:val="6"/>
        </w:numPr>
        <w:rPr>
          <w:rFonts w:ascii="Arial Narrow" w:hAnsi="Arial Narrow" w:cstheme="minorHAnsi"/>
        </w:rPr>
      </w:pPr>
      <w:r w:rsidRPr="008540BD">
        <w:rPr>
          <w:rFonts w:ascii="Arial Narrow" w:hAnsi="Arial Narrow" w:cstheme="minorHAnsi"/>
        </w:rPr>
        <w:t>Wsparcie Zamawiającego w procesie składania wniosku o dofinansowanie, w tym:</w:t>
      </w:r>
      <w:r w:rsidRPr="008540BD">
        <w:rPr>
          <w:rFonts w:ascii="Arial Narrow" w:hAnsi="Arial Narrow" w:cstheme="minorHAnsi"/>
        </w:rPr>
        <w:br/>
        <w:t>a) przygotowanie ostatecznej wersji dokumentacji;</w:t>
      </w:r>
      <w:r w:rsidRPr="008540BD">
        <w:rPr>
          <w:rFonts w:ascii="Arial Narrow" w:hAnsi="Arial Narrow" w:cstheme="minorHAnsi"/>
        </w:rPr>
        <w:br/>
        <w:t>b) udział w konsultacjach z instytucją organizującą nabór;</w:t>
      </w:r>
      <w:r w:rsidRPr="008540BD">
        <w:rPr>
          <w:rFonts w:ascii="Arial Narrow" w:hAnsi="Arial Narrow" w:cstheme="minorHAnsi"/>
        </w:rPr>
        <w:br/>
        <w:t>c) przygotowanie odpowiedzi na pytania i wezwania do uzupełnień na etapie oceny formalnej i merytorycznej projektu.</w:t>
      </w:r>
    </w:p>
    <w:p w:rsidR="005B5C3A" w:rsidRPr="008540BD" w:rsidRDefault="005B5C3A" w:rsidP="005B5C3A">
      <w:pPr>
        <w:pStyle w:val="NormalnyWeb"/>
        <w:rPr>
          <w:rFonts w:ascii="Arial Narrow" w:hAnsi="Arial Narrow" w:cstheme="minorHAnsi"/>
        </w:rPr>
      </w:pPr>
      <w:r w:rsidRPr="008540BD">
        <w:rPr>
          <w:rFonts w:ascii="Arial Narrow" w:hAnsi="Arial Narrow" w:cstheme="minorHAnsi"/>
        </w:rPr>
        <w:t>Wykonawca zobowiązany będzie do bieżącej współpracy z Zamawiającym oraz uwzględniania wszystkich wymogów programu dofinansowania obowiązujących na dzień ogłoszenia naboru.</w:t>
      </w:r>
    </w:p>
    <w:p w:rsidR="005B5C3A" w:rsidRPr="00DA4D61" w:rsidRDefault="005B5C3A" w:rsidP="00DA4D61">
      <w:pPr>
        <w:pStyle w:val="NormalnyWeb"/>
        <w:rPr>
          <w:rFonts w:ascii="Arial Narrow" w:hAnsi="Arial Narrow" w:cstheme="minorHAnsi"/>
          <w:b/>
        </w:rPr>
      </w:pPr>
      <w:r w:rsidRPr="00DA4D61">
        <w:rPr>
          <w:rFonts w:ascii="Arial Narrow" w:hAnsi="Arial Narrow" w:cstheme="minorHAnsi"/>
          <w:b/>
        </w:rPr>
        <w:t>Opis Inwestycji:</w:t>
      </w:r>
    </w:p>
    <w:p w:rsidR="005B5C3A" w:rsidRPr="008540BD" w:rsidRDefault="005B5C3A" w:rsidP="005B5C3A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sz w:val="24"/>
          <w:szCs w:val="24"/>
          <w:u w:val="single"/>
        </w:rPr>
      </w:pPr>
      <w:r w:rsidRPr="008540BD">
        <w:rPr>
          <w:rFonts w:ascii="Arial Narrow" w:hAnsi="Arial Narrow" w:cstheme="minorHAnsi"/>
          <w:sz w:val="24"/>
          <w:szCs w:val="24"/>
          <w:u w:val="single"/>
        </w:rPr>
        <w:t>Nazwa projektu: Fundamenty historii – modernizacja i zabezpieczenie Domu Mikołaja Kopernika.</w:t>
      </w:r>
    </w:p>
    <w:p w:rsidR="005B5C3A" w:rsidRPr="008540BD" w:rsidRDefault="005B5C3A" w:rsidP="005B5C3A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sz w:val="24"/>
          <w:szCs w:val="24"/>
          <w:u w:val="single"/>
        </w:rPr>
      </w:pPr>
    </w:p>
    <w:p w:rsidR="005B5C3A" w:rsidRPr="008540BD" w:rsidRDefault="005B5C3A" w:rsidP="005B5C3A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sz w:val="24"/>
          <w:szCs w:val="24"/>
          <w:u w:val="single"/>
        </w:rPr>
      </w:pPr>
      <w:r w:rsidRPr="008540BD">
        <w:rPr>
          <w:rFonts w:ascii="Arial Narrow" w:hAnsi="Arial Narrow" w:cstheme="minorHAnsi"/>
          <w:sz w:val="24"/>
          <w:szCs w:val="24"/>
          <w:u w:val="single"/>
        </w:rPr>
        <w:t>Zabezpieczenie konstrukcji oficyny, podwórza i muru granicznego</w:t>
      </w:r>
    </w:p>
    <w:p w:rsidR="005B5C3A" w:rsidRPr="008540BD" w:rsidRDefault="005B5C3A" w:rsidP="005B5C3A">
      <w:pPr>
        <w:tabs>
          <w:tab w:val="left" w:pos="3810"/>
        </w:tabs>
        <w:rPr>
          <w:rFonts w:ascii="Arial Narrow" w:hAnsi="Arial Narrow" w:cstheme="minorHAnsi"/>
          <w:sz w:val="24"/>
          <w:szCs w:val="24"/>
          <w:u w:val="single"/>
        </w:rPr>
      </w:pPr>
      <w:r w:rsidRPr="008540BD">
        <w:rPr>
          <w:rFonts w:ascii="Arial Narrow" w:hAnsi="Arial Narrow" w:cstheme="minorHAnsi"/>
          <w:sz w:val="24"/>
          <w:szCs w:val="24"/>
          <w:u w:val="single"/>
        </w:rPr>
        <w:t>przy Domu Mikołaja Kopernika, ul. Kopernika 15, 87-100 Toruń wraz z rozbudową oficyny z przeznaczeniem na pomieszczenia wystawienniczo - magazynowe.</w:t>
      </w:r>
    </w:p>
    <w:p w:rsidR="005B5C3A" w:rsidRPr="008540BD" w:rsidRDefault="005B5C3A" w:rsidP="005B5C3A">
      <w:pPr>
        <w:tabs>
          <w:tab w:val="left" w:pos="3810"/>
        </w:tabs>
        <w:jc w:val="both"/>
        <w:rPr>
          <w:rFonts w:ascii="Arial Narrow" w:hAnsi="Arial Narrow" w:cstheme="minorHAnsi"/>
          <w:sz w:val="24"/>
          <w:szCs w:val="24"/>
        </w:rPr>
      </w:pPr>
      <w:r w:rsidRPr="008540BD">
        <w:rPr>
          <w:rFonts w:ascii="Arial Narrow" w:hAnsi="Arial Narrow" w:cstheme="minorHAnsi"/>
          <w:sz w:val="24"/>
          <w:szCs w:val="24"/>
        </w:rPr>
        <w:t xml:space="preserve">Kamienica przy ul. Kopernika 15 wraz oficyną i z podwórzem jest wpisana indywidualnie do rejestru zabytków. Teren jest przekazany w użytkowanie wieczyste, Muzeum Okręgowe w Toruniu jest właścicielem budynku. Odrębnie do rejestru zabytków jest wpisany mur graniczny. Teren jest przekazany w użytkowanie wieczyste, Muzeum Okręgowe w Toruniu jest współwłaścicielem muru wraz ze Wspólnotą Mieszkaniową przy ul. Kopernika 13 w Toruniu.   </w:t>
      </w:r>
    </w:p>
    <w:p w:rsidR="005B5C3A" w:rsidRPr="008540BD" w:rsidRDefault="005B5C3A" w:rsidP="005B5C3A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theme="minorHAnsi"/>
          <w:sz w:val="24"/>
          <w:szCs w:val="24"/>
        </w:rPr>
      </w:pPr>
      <w:r w:rsidRPr="008540BD">
        <w:rPr>
          <w:rFonts w:ascii="Arial Narrow" w:hAnsi="Arial Narrow" w:cstheme="minorHAnsi"/>
          <w:sz w:val="24"/>
          <w:szCs w:val="24"/>
        </w:rPr>
        <w:t xml:space="preserve">W związku ze złym stanem oficyny i muru granicznego w Domu Mikołaja Kopernika  Muzeum Okręgowe w Toruniu podjęło decyzję o wykonaniu prac ratujących ten cenny, średniowieczny zabytek. Stan obiektów wynika z obniżonej stabilności gruntu w obrębie podwórza posesji przy ul. Kopernika 15/17 oraz posadowienia ich na słabonośnych gruntach nasypowych. Skutkuje to spękaniem ścian, zwłaszcza w przypadku muru może grozić katastrofą budowlaną ze względu na widoczne, znaczne odchylenie. Dodatkowym elementem wpływającym na stan muru są wody opadowe i zacieniona lokalizacja. </w:t>
      </w:r>
    </w:p>
    <w:p w:rsidR="005B5C3A" w:rsidRPr="008540BD" w:rsidRDefault="005B5C3A" w:rsidP="005B5C3A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theme="minorHAnsi"/>
          <w:bCs/>
          <w:color w:val="262626"/>
          <w:sz w:val="24"/>
          <w:szCs w:val="24"/>
          <w:shd w:val="clear" w:color="auto" w:fill="FFFFFF"/>
        </w:rPr>
      </w:pPr>
      <w:r w:rsidRPr="008540BD">
        <w:rPr>
          <w:rFonts w:ascii="Arial Narrow" w:hAnsi="Arial Narrow" w:cstheme="minorHAnsi"/>
          <w:sz w:val="24"/>
          <w:szCs w:val="24"/>
        </w:rPr>
        <w:t xml:space="preserve">Na podwórku pomiędzy oficyną i murem przeprowadzono badania archeologiczne, których efektem było odkrycie sensacyjnych na skalę Torunia reliktów </w:t>
      </w:r>
      <w:r w:rsidRPr="008540BD">
        <w:rPr>
          <w:rFonts w:ascii="Arial Narrow" w:hAnsi="Arial Narrow" w:cstheme="minorHAnsi"/>
          <w:bCs/>
          <w:color w:val="262626"/>
          <w:sz w:val="24"/>
          <w:szCs w:val="24"/>
          <w:shd w:val="clear" w:color="auto" w:fill="FFFFFF"/>
        </w:rPr>
        <w:t xml:space="preserve">jednego z najstarszych toruńskich domów z XIII wieku. To odkrycie zmieniło historię w okresie lokacji Torunia, wcześniej uważano, że przed murowanymi domami nie było tu drewnianej zabudowy. </w:t>
      </w:r>
    </w:p>
    <w:p w:rsidR="005B5C3A" w:rsidRPr="008540BD" w:rsidRDefault="005B5C3A" w:rsidP="005B5C3A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theme="minorHAnsi"/>
          <w:sz w:val="24"/>
          <w:szCs w:val="24"/>
        </w:rPr>
      </w:pPr>
      <w:r w:rsidRPr="008540BD">
        <w:rPr>
          <w:rFonts w:ascii="Arial Narrow" w:hAnsi="Arial Narrow" w:cstheme="minorHAnsi"/>
          <w:bCs/>
          <w:color w:val="262626"/>
          <w:sz w:val="24"/>
          <w:szCs w:val="24"/>
          <w:shd w:val="clear" w:color="auto" w:fill="FFFFFF"/>
        </w:rPr>
        <w:t xml:space="preserve">Ze względu na wyjątkowość odkrycia zdecydowano, że podczas prac remontowych prowadzonych przy murze i oficynie rozbudowana zostanie </w:t>
      </w:r>
      <w:r w:rsidRPr="008540BD">
        <w:rPr>
          <w:rFonts w:ascii="Arial Narrow" w:hAnsi="Arial Narrow" w:cstheme="minorHAnsi"/>
          <w:sz w:val="24"/>
          <w:szCs w:val="24"/>
        </w:rPr>
        <w:t>podziemna część środkowej oficyny, w której zostanie stworzona nowa przestrzeń ekspozycyjna, prezentująca odkryte relikty przeszłości.</w:t>
      </w:r>
    </w:p>
    <w:p w:rsidR="005B5C3A" w:rsidRPr="008540BD" w:rsidRDefault="005B5C3A" w:rsidP="005B5C3A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theme="minorHAnsi"/>
          <w:sz w:val="24"/>
          <w:szCs w:val="24"/>
        </w:rPr>
      </w:pPr>
      <w:r w:rsidRPr="008540BD">
        <w:rPr>
          <w:rFonts w:ascii="Arial Narrow" w:hAnsi="Arial Narrow" w:cstheme="minorHAnsi"/>
          <w:sz w:val="24"/>
          <w:szCs w:val="24"/>
        </w:rPr>
        <w:t>W ramach projektu przewidywane jest stabilizacja gruntu całego podwórza, prace konserwatorskie spękań ścian i elewacji oficyny, zabezpieczenie jej konstrukcji, stabilizacja fundamentów, konserwacja lica muru granicznego, rozbudowa oficyny, ponowne zagospodarowanie terenu podwórka.</w:t>
      </w:r>
    </w:p>
    <w:p w:rsidR="005B5C3A" w:rsidRPr="008540BD" w:rsidRDefault="005B5C3A" w:rsidP="005B5C3A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theme="minorHAnsi"/>
          <w:sz w:val="24"/>
          <w:szCs w:val="24"/>
        </w:rPr>
      </w:pPr>
      <w:r w:rsidRPr="008540BD">
        <w:rPr>
          <w:rFonts w:ascii="Arial Narrow" w:hAnsi="Arial Narrow" w:cstheme="minorHAnsi"/>
          <w:sz w:val="24"/>
          <w:szCs w:val="24"/>
        </w:rPr>
        <w:t xml:space="preserve">W celu rozbudowy środkowej oficyny i zabezpieczenia konstrukcji oficyn, podwórza oraz muru granicznego zaprojektowano budowlę o konstrukcji żelbetowej. Częściowo stanowi ona rozbudowę </w:t>
      </w:r>
      <w:r w:rsidRPr="008540BD">
        <w:rPr>
          <w:rFonts w:ascii="Arial Narrow" w:hAnsi="Arial Narrow" w:cstheme="minorHAnsi"/>
          <w:sz w:val="24"/>
          <w:szCs w:val="24"/>
        </w:rPr>
        <w:lastRenderedPageBreak/>
        <w:t>piwnicy oficyny o cztery pomieszczenia użytkowe oraz w pozostałej części podwórza analogiczną konstrukcję mająca na celu dalszą stabilizację gruntu. Całość będzie posadowiona na żelbetowej płycie dennej o grubości 30 cm, zbrojonej siatką Ø12 mm co 15 cm, zalana betonem C25/30 W8. Ściany dobudowanej części będą żelbetowe, zbrojone prętami stalowymi. Strop żelbetowy nad nowoprojektowanymi pomieszczeniami podziemnymi stanowić będzie stanowił jednocześnie zadaszenie i posadzkę podwórza pomiędzy oficynami a murem granicznym (stropodach z płyty stropowej żelbetowej, zbrojonej prętami Ø12 mm). W celu połączenia istniejącej piwnicy Domu Mikołaja Kopernika z nowo powstałą częścią zostanie usunięte istniejące okno, powstały otwór zostanie powiększony, tworząc przejście pomiędzy pomieszczeniami. W nowej części wprowadzona zostanie wentylacja wspomagana mechanicznie, kanał wentylacyjny wyprowadzony ponad powierzchnię w formie imitującej istniejące rury spustowe oraz instalacja elektryczna i systemy ochrony.</w:t>
      </w:r>
    </w:p>
    <w:p w:rsidR="005B5C3A" w:rsidRPr="008540BD" w:rsidRDefault="005B5C3A" w:rsidP="005B5C3A">
      <w:pPr>
        <w:pStyle w:val="Default"/>
        <w:spacing w:line="276" w:lineRule="auto"/>
        <w:jc w:val="both"/>
        <w:rPr>
          <w:rFonts w:ascii="Arial Narrow" w:hAnsi="Arial Narrow" w:cstheme="minorHAnsi"/>
        </w:rPr>
      </w:pPr>
      <w:r w:rsidRPr="008540BD">
        <w:rPr>
          <w:rFonts w:ascii="Arial Narrow" w:hAnsi="Arial Narrow" w:cstheme="minorHAnsi"/>
        </w:rPr>
        <w:t xml:space="preserve">Mur graniczny zostanie wzmocniony konstrukcją żelbetową, pomiędzy ww. murem, a oficynami budynku. W konstrukcji tej przewidziano stworzenie półki żelbetowej, podchwytującej podstawę muru. </w:t>
      </w:r>
    </w:p>
    <w:p w:rsidR="005B5C3A" w:rsidRPr="008540BD" w:rsidRDefault="005B5C3A" w:rsidP="005B5C3A">
      <w:pPr>
        <w:pStyle w:val="Default"/>
        <w:spacing w:line="276" w:lineRule="auto"/>
        <w:jc w:val="both"/>
        <w:rPr>
          <w:rFonts w:ascii="Arial Narrow" w:hAnsi="Arial Narrow" w:cstheme="minorHAnsi"/>
        </w:rPr>
      </w:pPr>
      <w:r w:rsidRPr="008540BD">
        <w:rPr>
          <w:rFonts w:ascii="Arial Narrow" w:hAnsi="Arial Narrow" w:cstheme="minorHAnsi"/>
        </w:rPr>
        <w:t>Program konserwatorski przewiduje oczyszczenie i dezynfekcję lica muru czystą wodą pod ciśnieniem, ręczne usunięcie zniszczonych materiałów współczesnych, ręczne usunięcie zużytych tynków, wymianę spoin w partiach współczesnych, miejscową rozbiórkę partii zdestabilizowanych, iniekcje pustek zaprawami, stabilizację wątku poprzez odtworzenie ciągłości wiązań murarskich i zszycie muru kotwami, odsalanie, licowanie i uzupełnienie drobnych ubytków w cegle, odtworzenie ciągłości spoin oraz scalenie kolorystyczne.</w:t>
      </w:r>
    </w:p>
    <w:p w:rsidR="005B5C3A" w:rsidRPr="008540BD" w:rsidRDefault="005B5C3A" w:rsidP="005B5C3A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theme="minorHAnsi"/>
          <w:sz w:val="24"/>
          <w:szCs w:val="24"/>
        </w:rPr>
      </w:pPr>
      <w:r w:rsidRPr="008540BD">
        <w:rPr>
          <w:rFonts w:ascii="Arial Narrow" w:hAnsi="Arial Narrow" w:cstheme="minorHAnsi"/>
          <w:sz w:val="24"/>
          <w:szCs w:val="24"/>
        </w:rPr>
        <w:t>Dla oficyny program konserwatorski przewiduje stabilizację fundamentów,  wykonanie zszyć z użyciem kotew spiralnych o dł. 100 cm, odtworzenie spoinowania zaprawami renowacyjnymi oraz retusz spękanych cegieł formatowych z użyciem zapraw mineralnych.</w:t>
      </w:r>
    </w:p>
    <w:p w:rsidR="005B5C3A" w:rsidRPr="008540BD" w:rsidRDefault="005B5C3A" w:rsidP="005B5C3A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theme="minorHAnsi"/>
          <w:sz w:val="24"/>
          <w:szCs w:val="24"/>
        </w:rPr>
      </w:pPr>
      <w:r w:rsidRPr="008540BD">
        <w:rPr>
          <w:rFonts w:ascii="Arial Narrow" w:hAnsi="Arial Narrow" w:cstheme="minorHAnsi"/>
          <w:sz w:val="24"/>
          <w:szCs w:val="24"/>
        </w:rPr>
        <w:t>Po ukończeniu prac budowlanych odtworzona zostanie nawierzchnia podwórka, z wykorzystaniem znajdujących się tam wcześniej nieregularnych kamieni polnych.</w:t>
      </w:r>
    </w:p>
    <w:p w:rsidR="005B5C3A" w:rsidRPr="008540BD" w:rsidRDefault="005B5C3A" w:rsidP="005B5C3A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theme="minorHAnsi"/>
          <w:sz w:val="24"/>
          <w:szCs w:val="24"/>
        </w:rPr>
      </w:pPr>
      <w:r w:rsidRPr="008540BD">
        <w:rPr>
          <w:rFonts w:ascii="Arial Narrow" w:hAnsi="Arial Narrow" w:cstheme="minorHAnsi"/>
          <w:sz w:val="24"/>
          <w:szCs w:val="24"/>
        </w:rPr>
        <w:t xml:space="preserve">W trakcie prac wykonane zostaną nowe instalacje elektryczne (w nowo powstałej części) oraz zmodyfikowane już istniejące. Przeprowadzone zostaną również niezbędne prace instalacyjne </w:t>
      </w:r>
      <w:proofErr w:type="spellStart"/>
      <w:r w:rsidRPr="008540BD">
        <w:rPr>
          <w:rFonts w:ascii="Arial Narrow" w:hAnsi="Arial Narrow" w:cstheme="minorHAnsi"/>
          <w:sz w:val="24"/>
          <w:szCs w:val="24"/>
        </w:rPr>
        <w:t>wod</w:t>
      </w:r>
      <w:proofErr w:type="spellEnd"/>
      <w:r w:rsidRPr="008540BD">
        <w:rPr>
          <w:rFonts w:ascii="Arial Narrow" w:hAnsi="Arial Narrow" w:cstheme="minorHAnsi"/>
          <w:sz w:val="24"/>
          <w:szCs w:val="24"/>
        </w:rPr>
        <w:t>. – kan. i c.o.</w:t>
      </w:r>
    </w:p>
    <w:p w:rsidR="005B5C3A" w:rsidRPr="008540BD" w:rsidRDefault="005B5C3A" w:rsidP="005B5C3A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theme="minorHAnsi"/>
          <w:sz w:val="24"/>
          <w:szCs w:val="24"/>
        </w:rPr>
      </w:pPr>
      <w:r w:rsidRPr="008540BD">
        <w:rPr>
          <w:rFonts w:ascii="Arial Narrow" w:hAnsi="Arial Narrow" w:cstheme="minorHAnsi"/>
          <w:sz w:val="24"/>
          <w:szCs w:val="24"/>
        </w:rPr>
        <w:t>W pomieszczeniach rozbudowanej części piwnic zostaną udostępnione obiekty, które wydobyto w ramach prowadzonych badań archeologicznych prowadzonych na podwórzu Domu Mikołaja Kopernika, ponadto te pomieszczenia będą miały też częściowo charakter pomieszczeń magazynowych oraz przeznaczonych na doraźne miejsce przechowywania zabytków w razie wystąpienia konfliktów zbrojnych. Pomieszczenia te zostaną dostosowane do nowych funkcji. Zostanie wykonany projekt ekspozycji wystawy.</w:t>
      </w:r>
    </w:p>
    <w:p w:rsidR="005B5C3A" w:rsidRPr="008540BD" w:rsidRDefault="005B5C3A" w:rsidP="005B5C3A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theme="minorHAnsi"/>
          <w:sz w:val="24"/>
          <w:szCs w:val="24"/>
        </w:rPr>
      </w:pPr>
      <w:r w:rsidRPr="008540BD">
        <w:rPr>
          <w:rFonts w:ascii="Arial Narrow" w:hAnsi="Arial Narrow" w:cstheme="minorHAnsi"/>
          <w:sz w:val="24"/>
          <w:szCs w:val="24"/>
        </w:rPr>
        <w:t xml:space="preserve">Muzeum Okręgowe w Toruniu jest odpowiedzialne za wykonanie dokumentacji projektowej, budowlano-konserwatorskiej, kosztorysów, przedmiarów i projektu wystawy i aranżacji wnętrz, a także wszystkich niezbędnych pozwoleń.    </w:t>
      </w:r>
    </w:p>
    <w:p w:rsidR="005B5C3A" w:rsidRPr="008540BD" w:rsidRDefault="005B5C3A" w:rsidP="005B5C3A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theme="minorHAnsi"/>
          <w:sz w:val="24"/>
          <w:szCs w:val="24"/>
        </w:rPr>
      </w:pPr>
      <w:r w:rsidRPr="008540BD">
        <w:rPr>
          <w:rFonts w:ascii="Arial Narrow" w:hAnsi="Arial Narrow" w:cstheme="minorHAnsi"/>
          <w:sz w:val="24"/>
          <w:szCs w:val="24"/>
        </w:rPr>
        <w:t xml:space="preserve">      </w:t>
      </w:r>
    </w:p>
    <w:p w:rsidR="005B5C3A" w:rsidRDefault="005B5C3A" w:rsidP="005B5C3A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theme="minorHAnsi"/>
          <w:sz w:val="24"/>
          <w:szCs w:val="24"/>
        </w:rPr>
      </w:pPr>
      <w:r w:rsidRPr="008540BD">
        <w:rPr>
          <w:rFonts w:ascii="Arial Narrow" w:hAnsi="Arial Narrow" w:cstheme="minorHAnsi"/>
          <w:sz w:val="24"/>
          <w:szCs w:val="24"/>
        </w:rPr>
        <w:t>Obecny zakres prac zostanie doprecyzowany na etapie przeprowadzenia postepowania o udzielenie zamówienia na wykonanie wniosku</w:t>
      </w:r>
      <w:r w:rsidR="00F047FF">
        <w:rPr>
          <w:rFonts w:ascii="Arial Narrow" w:hAnsi="Arial Narrow" w:cstheme="minorHAnsi"/>
          <w:sz w:val="24"/>
          <w:szCs w:val="24"/>
        </w:rPr>
        <w:t>.</w:t>
      </w:r>
      <w:bookmarkStart w:id="0" w:name="_GoBack"/>
      <w:bookmarkEnd w:id="0"/>
      <w:r w:rsidRPr="008540BD">
        <w:rPr>
          <w:rFonts w:ascii="Arial Narrow" w:hAnsi="Arial Narrow" w:cstheme="minorHAnsi"/>
          <w:sz w:val="24"/>
          <w:szCs w:val="24"/>
        </w:rPr>
        <w:t xml:space="preserve"> </w:t>
      </w:r>
    </w:p>
    <w:p w:rsidR="004309F2" w:rsidRDefault="004309F2" w:rsidP="005B5C3A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theme="minorHAnsi"/>
          <w:sz w:val="24"/>
          <w:szCs w:val="24"/>
        </w:rPr>
      </w:pPr>
    </w:p>
    <w:p w:rsidR="004309F2" w:rsidRDefault="004309F2" w:rsidP="005B5C3A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theme="minorHAnsi"/>
          <w:sz w:val="24"/>
          <w:szCs w:val="24"/>
        </w:rPr>
      </w:pPr>
    </w:p>
    <w:p w:rsidR="004309F2" w:rsidRDefault="004309F2" w:rsidP="005B5C3A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theme="minorHAnsi"/>
          <w:sz w:val="24"/>
          <w:szCs w:val="24"/>
        </w:rPr>
      </w:pPr>
    </w:p>
    <w:p w:rsidR="004309F2" w:rsidRDefault="004309F2" w:rsidP="005B5C3A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theme="minorHAnsi"/>
          <w:sz w:val="24"/>
          <w:szCs w:val="24"/>
        </w:rPr>
      </w:pPr>
    </w:p>
    <w:p w:rsidR="004309F2" w:rsidRDefault="004309F2" w:rsidP="005B5C3A">
      <w:pPr>
        <w:autoSpaceDE w:val="0"/>
        <w:autoSpaceDN w:val="0"/>
        <w:adjustRightInd w:val="0"/>
        <w:spacing w:after="0" w:line="276" w:lineRule="auto"/>
        <w:jc w:val="both"/>
        <w:rPr>
          <w:rFonts w:ascii="Arial Narrow" w:hAnsi="Arial Narrow" w:cstheme="minorHAnsi"/>
          <w:sz w:val="24"/>
          <w:szCs w:val="24"/>
        </w:rPr>
      </w:pPr>
    </w:p>
    <w:sectPr w:rsidR="004309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234BC85"/>
    <w:multiLevelType w:val="hybridMultilevel"/>
    <w:tmpl w:val="4D32D9C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931BC3"/>
    <w:multiLevelType w:val="multilevel"/>
    <w:tmpl w:val="71B23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F1BF6"/>
    <w:multiLevelType w:val="multilevel"/>
    <w:tmpl w:val="D4ECF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10E4D"/>
    <w:multiLevelType w:val="multilevel"/>
    <w:tmpl w:val="91141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110DB7"/>
    <w:multiLevelType w:val="multilevel"/>
    <w:tmpl w:val="A470C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993E52"/>
    <w:multiLevelType w:val="multilevel"/>
    <w:tmpl w:val="4022B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B9066B"/>
    <w:multiLevelType w:val="multilevel"/>
    <w:tmpl w:val="E5D23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565983"/>
    <w:multiLevelType w:val="hybridMultilevel"/>
    <w:tmpl w:val="6AA00246"/>
    <w:lvl w:ilvl="0" w:tplc="8F38E81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F1DD1"/>
    <w:multiLevelType w:val="multilevel"/>
    <w:tmpl w:val="19227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CF57A0"/>
    <w:multiLevelType w:val="multilevel"/>
    <w:tmpl w:val="AB128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E25DB3"/>
    <w:multiLevelType w:val="multilevel"/>
    <w:tmpl w:val="BA76D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062754"/>
    <w:multiLevelType w:val="multilevel"/>
    <w:tmpl w:val="ED42C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51A1BE"/>
    <w:multiLevelType w:val="hybridMultilevel"/>
    <w:tmpl w:val="9FDC80F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4799704"/>
    <w:multiLevelType w:val="hybridMultilevel"/>
    <w:tmpl w:val="DDBC4FA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6E92696"/>
    <w:multiLevelType w:val="multilevel"/>
    <w:tmpl w:val="E4BA4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6631DB"/>
    <w:multiLevelType w:val="multilevel"/>
    <w:tmpl w:val="DA824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014577"/>
    <w:multiLevelType w:val="multilevel"/>
    <w:tmpl w:val="76924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6A19D3"/>
    <w:multiLevelType w:val="multilevel"/>
    <w:tmpl w:val="C5DAD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F033EF"/>
    <w:multiLevelType w:val="multilevel"/>
    <w:tmpl w:val="2848D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21F2C26"/>
    <w:multiLevelType w:val="multilevel"/>
    <w:tmpl w:val="B992C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ED5A24"/>
    <w:multiLevelType w:val="multilevel"/>
    <w:tmpl w:val="DFA09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5A690B"/>
    <w:multiLevelType w:val="multilevel"/>
    <w:tmpl w:val="120A6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54555F5"/>
    <w:multiLevelType w:val="multilevel"/>
    <w:tmpl w:val="E4CE4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0E3455"/>
    <w:multiLevelType w:val="multilevel"/>
    <w:tmpl w:val="BF662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AF1C85"/>
    <w:multiLevelType w:val="multilevel"/>
    <w:tmpl w:val="BE30B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C436DF"/>
    <w:multiLevelType w:val="multilevel"/>
    <w:tmpl w:val="7966D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90281C"/>
    <w:multiLevelType w:val="multilevel"/>
    <w:tmpl w:val="D0ACC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212626"/>
    <w:multiLevelType w:val="multilevel"/>
    <w:tmpl w:val="86FC0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B109B0"/>
    <w:multiLevelType w:val="multilevel"/>
    <w:tmpl w:val="A8BA8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17462F"/>
    <w:multiLevelType w:val="multilevel"/>
    <w:tmpl w:val="936E6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8E37FF"/>
    <w:multiLevelType w:val="multilevel"/>
    <w:tmpl w:val="BBB49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74040D"/>
    <w:multiLevelType w:val="multilevel"/>
    <w:tmpl w:val="3DECC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2"/>
  </w:num>
  <w:num w:numId="3">
    <w:abstractNumId w:val="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6"/>
  </w:num>
  <w:num w:numId="9">
    <w:abstractNumId w:val="16"/>
  </w:num>
  <w:num w:numId="10">
    <w:abstractNumId w:val="6"/>
  </w:num>
  <w:num w:numId="11">
    <w:abstractNumId w:val="9"/>
  </w:num>
  <w:num w:numId="12">
    <w:abstractNumId w:val="15"/>
  </w:num>
  <w:num w:numId="13">
    <w:abstractNumId w:val="14"/>
  </w:num>
  <w:num w:numId="14">
    <w:abstractNumId w:val="20"/>
  </w:num>
  <w:num w:numId="15">
    <w:abstractNumId w:val="11"/>
  </w:num>
  <w:num w:numId="16">
    <w:abstractNumId w:val="10"/>
  </w:num>
  <w:num w:numId="17">
    <w:abstractNumId w:val="18"/>
  </w:num>
  <w:num w:numId="18">
    <w:abstractNumId w:val="3"/>
  </w:num>
  <w:num w:numId="19">
    <w:abstractNumId w:val="28"/>
  </w:num>
  <w:num w:numId="20">
    <w:abstractNumId w:val="8"/>
  </w:num>
  <w:num w:numId="21">
    <w:abstractNumId w:val="5"/>
  </w:num>
  <w:num w:numId="22">
    <w:abstractNumId w:val="19"/>
  </w:num>
  <w:num w:numId="23">
    <w:abstractNumId w:val="30"/>
  </w:num>
  <w:num w:numId="24">
    <w:abstractNumId w:val="31"/>
  </w:num>
  <w:num w:numId="25">
    <w:abstractNumId w:val="27"/>
  </w:num>
  <w:num w:numId="26">
    <w:abstractNumId w:val="4"/>
  </w:num>
  <w:num w:numId="27">
    <w:abstractNumId w:val="17"/>
  </w:num>
  <w:num w:numId="28">
    <w:abstractNumId w:val="29"/>
  </w:num>
  <w:num w:numId="29">
    <w:abstractNumId w:val="1"/>
  </w:num>
  <w:num w:numId="30">
    <w:abstractNumId w:val="23"/>
  </w:num>
  <w:num w:numId="31">
    <w:abstractNumId w:val="24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C3A"/>
    <w:rsid w:val="00113D49"/>
    <w:rsid w:val="001E6ADF"/>
    <w:rsid w:val="003F1810"/>
    <w:rsid w:val="004309F2"/>
    <w:rsid w:val="005B5C3A"/>
    <w:rsid w:val="008540BD"/>
    <w:rsid w:val="00BF42EA"/>
    <w:rsid w:val="00DA4D61"/>
    <w:rsid w:val="00F0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3CCDF"/>
  <w15:chartTrackingRefBased/>
  <w15:docId w15:val="{F6617092-EA11-4D3E-8D20-478CBB7F6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5C3A"/>
    <w:pPr>
      <w:spacing w:line="256" w:lineRule="auto"/>
    </w:pPr>
  </w:style>
  <w:style w:type="paragraph" w:styleId="Nagwek1">
    <w:name w:val="heading 1"/>
    <w:basedOn w:val="Normalny"/>
    <w:link w:val="Nagwek1Znak"/>
    <w:uiPriority w:val="9"/>
    <w:qFormat/>
    <w:rsid w:val="004309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4309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4309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B5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B5C3A"/>
    <w:rPr>
      <w:b/>
      <w:bCs/>
    </w:rPr>
  </w:style>
  <w:style w:type="paragraph" w:customStyle="1" w:styleId="Default">
    <w:name w:val="Default"/>
    <w:uiPriority w:val="99"/>
    <w:rsid w:val="005B5C3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B5C3A"/>
    <w:pPr>
      <w:ind w:left="720"/>
      <w:contextualSpacing/>
    </w:pPr>
    <w:rPr>
      <w:rFonts w:ascii="Arial Narrow" w:hAnsi="Arial Narrow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4309F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309F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309F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x1yc453h">
    <w:name w:val="x1yc453h"/>
    <w:basedOn w:val="Normalny"/>
    <w:rsid w:val="00430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9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1718</Words>
  <Characters>10313</Characters>
  <Application>Microsoft Office Word</Application>
  <DocSecurity>0</DocSecurity>
  <Lines>85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Aleksandra</cp:lastModifiedBy>
  <cp:revision>6</cp:revision>
  <dcterms:created xsi:type="dcterms:W3CDTF">2026-08-27T11:47:00Z</dcterms:created>
  <dcterms:modified xsi:type="dcterms:W3CDTF">2026-09-23T11:59:00Z</dcterms:modified>
</cp:coreProperties>
</file>